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ANTHONY KARANJA MUHUTHIA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783-10400, Nanyuki,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akmuhuthia@gmail.com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+254-0721 697942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250 VX FIRST EDITION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GDJ250-0005158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$ 51,436.00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