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INV-22102746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BRIAN ODUOR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21115-00100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brihanney@gmail.com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+254-741362553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HILUX Z BLACK RALLY EDITION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GUN125-3916415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$ 26,710.00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