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INV-22102753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AGGREY MWALA KAVULUDI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26835-00504 NAIROBI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mwalaaggrey4@gmail.com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+254-0790307492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USED TOYOTA COROLLA AXIO HYBRID EX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NKE165-7235953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$ 9,483.00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07 Jul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